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F1B1" w14:textId="77777777" w:rsidR="00CC5752" w:rsidRPr="00CC5752" w:rsidRDefault="00CC5752" w:rsidP="00CC57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432" w:firstLine="851"/>
        <w:rPr>
          <w:rFonts w:ascii="Times New Roman" w:hAnsi="Times New Roman"/>
          <w:i/>
          <w:color w:val="000000" w:themeColor="text1"/>
          <w:sz w:val="32"/>
          <w:szCs w:val="32"/>
        </w:rPr>
      </w:pPr>
      <w:bookmarkStart w:id="0" w:name="_GoBack"/>
      <w:bookmarkEnd w:id="0"/>
      <w:r w:rsidRPr="00CC5752">
        <w:rPr>
          <w:rFonts w:ascii="Times New Roman" w:hAnsi="Times New Roman"/>
          <w:smallCaps/>
          <w:color w:val="000000" w:themeColor="text1"/>
          <w:sz w:val="32"/>
          <w:szCs w:val="32"/>
        </w:rPr>
        <w:t>Dainville</w:t>
      </w:r>
      <w:r w:rsidRPr="00CC5752">
        <w:rPr>
          <w:rFonts w:ascii="Times New Roman" w:hAnsi="Times New Roman"/>
          <w:color w:val="000000" w:themeColor="text1"/>
          <w:sz w:val="32"/>
          <w:szCs w:val="32"/>
        </w:rPr>
        <w:t xml:space="preserve"> Julie - </w:t>
      </w:r>
      <w:r w:rsidRPr="00CC5752">
        <w:rPr>
          <w:rFonts w:ascii="Times New Roman" w:hAnsi="Times New Roman"/>
          <w:i/>
          <w:color w:val="000000" w:themeColor="text1"/>
          <w:sz w:val="32"/>
          <w:szCs w:val="32"/>
        </w:rPr>
        <w:t>Curriculum Vitae</w:t>
      </w:r>
    </w:p>
    <w:p w14:paraId="752DD815" w14:textId="77777777" w:rsidR="00CC5752" w:rsidRDefault="00CC5752" w:rsidP="00CC5752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/>
          <w:color w:val="000000" w:themeColor="text1"/>
        </w:rPr>
      </w:pPr>
    </w:p>
    <w:p w14:paraId="7AC79416" w14:textId="77777777" w:rsidR="00CC5752" w:rsidRPr="00CC5752" w:rsidRDefault="00CC5752" w:rsidP="00CC5752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/>
          <w:color w:val="000000" w:themeColor="text1"/>
        </w:rPr>
      </w:pPr>
    </w:p>
    <w:p w14:paraId="558916F0" w14:textId="77777777" w:rsidR="00CC5752" w:rsidRDefault="00CC5752" w:rsidP="00CC5752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/>
          <w:bCs/>
          <w:color w:val="000000" w:themeColor="text1"/>
        </w:rPr>
      </w:pPr>
      <w:r w:rsidRPr="00CC5752">
        <w:rPr>
          <w:rFonts w:ascii="Times New Roman" w:hAnsi="Times New Roman"/>
          <w:bCs/>
          <w:color w:val="000000" w:themeColor="text1"/>
        </w:rPr>
        <w:t>Aspirante au F.R.S.-FNRS</w:t>
      </w:r>
    </w:p>
    <w:p w14:paraId="0741D446" w14:textId="77777777" w:rsidR="00CC5752" w:rsidRDefault="00CC5752" w:rsidP="00CC5752">
      <w:pPr>
        <w:spacing w:after="10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CC5752">
        <w:rPr>
          <w:rFonts w:ascii="Times New Roman" w:hAnsi="Times New Roman"/>
          <w:bCs/>
          <w:i/>
          <w:color w:val="000000" w:themeColor="text1"/>
          <w:szCs w:val="24"/>
        </w:rPr>
        <w:t>Titre du projet :</w:t>
      </w:r>
      <w:r w:rsidRPr="00CC575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CC5752">
        <w:rPr>
          <w:rFonts w:ascii="Times New Roman" w:hAnsi="Times New Roman"/>
          <w:color w:val="000000" w:themeColor="text1"/>
          <w:szCs w:val="24"/>
        </w:rPr>
        <w:t xml:space="preserve">« Oracles et décision : étude philologique et rhétorique de la preuve </w:t>
      </w:r>
      <w:r>
        <w:rPr>
          <w:rFonts w:ascii="Times New Roman" w:hAnsi="Times New Roman"/>
          <w:color w:val="000000" w:themeColor="text1"/>
          <w:szCs w:val="24"/>
        </w:rPr>
        <w:tab/>
      </w:r>
      <w:r w:rsidRPr="00CC5752">
        <w:rPr>
          <w:rFonts w:ascii="Times New Roman" w:hAnsi="Times New Roman"/>
          <w:color w:val="000000" w:themeColor="text1"/>
          <w:szCs w:val="24"/>
        </w:rPr>
        <w:t>oraculaire en Grèce ancienne »</w:t>
      </w:r>
    </w:p>
    <w:p w14:paraId="0379482B" w14:textId="77777777" w:rsidR="00CC5752" w:rsidRPr="00CC5752" w:rsidRDefault="00CC5752" w:rsidP="00CC5752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 xml:space="preserve">Sous la supervision d’Alain Delattre et d’Emmanuelle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Danblon</w:t>
      </w:r>
      <w:proofErr w:type="spellEnd"/>
    </w:p>
    <w:p w14:paraId="5ED238B7" w14:textId="77777777" w:rsidR="00CC5752" w:rsidRDefault="00CC5752" w:rsidP="00CC5752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/>
          <w:color w:val="000000" w:themeColor="text1"/>
        </w:rPr>
      </w:pPr>
    </w:p>
    <w:p w14:paraId="41D6ACEE" w14:textId="77777777" w:rsidR="00CC5752" w:rsidRPr="00CC5752" w:rsidRDefault="00CC5752" w:rsidP="00CC5752">
      <w:pPr>
        <w:widowControl w:val="0"/>
        <w:autoSpaceDE w:val="0"/>
        <w:autoSpaceDN w:val="0"/>
        <w:adjustRightInd w:val="0"/>
        <w:ind w:right="-432" w:firstLine="851"/>
        <w:rPr>
          <w:rFonts w:ascii="Times New Roman" w:hAnsi="Times New Roman"/>
          <w:color w:val="000000" w:themeColor="text1"/>
        </w:rPr>
      </w:pPr>
    </w:p>
    <w:p w14:paraId="63B5083E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I.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>Informations générales :</w:t>
      </w:r>
    </w:p>
    <w:p w14:paraId="330A0DF0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CC5752">
        <w:rPr>
          <w:rFonts w:ascii="Times New Roman" w:hAnsi="Times New Roman"/>
          <w:b/>
          <w:color w:val="000000" w:themeColor="text1"/>
          <w:szCs w:val="24"/>
        </w:rPr>
        <w:t>Date de naissance</w:t>
      </w:r>
      <w:r w:rsidRPr="00CC5752">
        <w:rPr>
          <w:rFonts w:ascii="Times New Roman" w:hAnsi="Times New Roman"/>
          <w:color w:val="000000" w:themeColor="text1"/>
          <w:szCs w:val="24"/>
        </w:rPr>
        <w:t xml:space="preserve"> : 22 juillet 1988 (Etterbeek)  </w:t>
      </w:r>
    </w:p>
    <w:p w14:paraId="23C57ABE" w14:textId="77777777" w:rsidR="00CC5752" w:rsidRPr="00CC5752" w:rsidRDefault="00CC5752" w:rsidP="00CC5752">
      <w:pPr>
        <w:spacing w:line="360" w:lineRule="auto"/>
        <w:rPr>
          <w:rStyle w:val="Lienhypertexte"/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b/>
          <w:color w:val="000000" w:themeColor="text1"/>
          <w:szCs w:val="24"/>
        </w:rPr>
        <w:t>E-mail</w:t>
      </w:r>
      <w:r w:rsidRPr="00CC5752">
        <w:rPr>
          <w:rFonts w:ascii="Times New Roman" w:hAnsi="Times New Roman"/>
          <w:color w:val="000000" w:themeColor="text1"/>
          <w:szCs w:val="24"/>
        </w:rPr>
        <w:t xml:space="preserve"> : </w:t>
      </w:r>
      <w:r w:rsidRPr="00CC5752">
        <w:rPr>
          <w:rStyle w:val="Lienhypertexte"/>
          <w:rFonts w:ascii="Times New Roman" w:hAnsi="Times New Roman"/>
          <w:color w:val="000000" w:themeColor="text1"/>
          <w:szCs w:val="24"/>
        </w:rPr>
        <w:t>jdainvil@ulb.ac.be</w:t>
      </w:r>
    </w:p>
    <w:p w14:paraId="6A029A98" w14:textId="77777777" w:rsidR="00CC5752" w:rsidRPr="00CC5752" w:rsidRDefault="00CC5752" w:rsidP="00CC5752">
      <w:pPr>
        <w:rPr>
          <w:rFonts w:ascii="Times New Roman" w:hAnsi="Times New Roman"/>
          <w:b/>
          <w:color w:val="000000" w:themeColor="text1"/>
          <w:szCs w:val="24"/>
        </w:rPr>
      </w:pPr>
      <w:r w:rsidRPr="00CC5752">
        <w:rPr>
          <w:rFonts w:ascii="Times New Roman" w:hAnsi="Times New Roman"/>
          <w:b/>
          <w:color w:val="000000" w:themeColor="text1"/>
          <w:szCs w:val="24"/>
        </w:rPr>
        <w:t>Compétences linguistiques :</w:t>
      </w:r>
    </w:p>
    <w:p w14:paraId="00F1B5AE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CC5752">
        <w:rPr>
          <w:rFonts w:ascii="Times New Roman" w:hAnsi="Times New Roman"/>
          <w:color w:val="000000" w:themeColor="text1"/>
          <w:szCs w:val="24"/>
        </w:rPr>
        <w:t>Actives : français (langue maternelle), anglais, néerlandais</w:t>
      </w:r>
    </w:p>
    <w:p w14:paraId="53D37C5F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CC5752">
        <w:rPr>
          <w:rFonts w:ascii="Times New Roman" w:hAnsi="Times New Roman"/>
          <w:color w:val="000000" w:themeColor="text1"/>
          <w:szCs w:val="24"/>
        </w:rPr>
        <w:t>Passives : allemand, grec moderne, italien, espagnol</w:t>
      </w:r>
    </w:p>
    <w:p w14:paraId="73573023" w14:textId="77777777" w:rsidR="00CC5752" w:rsidRPr="00CC5752" w:rsidRDefault="00CC5752" w:rsidP="00CC5752">
      <w:pPr>
        <w:spacing w:line="360" w:lineRule="auto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CC5752">
        <w:rPr>
          <w:rFonts w:ascii="Times New Roman" w:hAnsi="Times New Roman"/>
          <w:color w:val="000000" w:themeColor="text1"/>
          <w:szCs w:val="24"/>
        </w:rPr>
        <w:t>Langues anciennes : latin, grec ancien, hittite, araméen, vieux perse, sanskrit</w:t>
      </w:r>
    </w:p>
    <w:p w14:paraId="72DE9C08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  <w:position w:val="4"/>
        </w:rPr>
      </w:pPr>
    </w:p>
    <w:p w14:paraId="6114DFB5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left="1418" w:right="-432" w:hanging="567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II.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 xml:space="preserve">Titres universitaires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709"/>
        <w:gridCol w:w="1024"/>
      </w:tblGrid>
      <w:tr w:rsidR="00CC5752" w:rsidRPr="00CC5752" w14:paraId="78F1B432" w14:textId="77777777" w:rsidTr="004A467B">
        <w:tc>
          <w:tcPr>
            <w:tcW w:w="1384" w:type="dxa"/>
          </w:tcPr>
          <w:p w14:paraId="78D705E2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2012-2013</w:t>
            </w:r>
          </w:p>
        </w:tc>
        <w:tc>
          <w:tcPr>
            <w:tcW w:w="6095" w:type="dxa"/>
          </w:tcPr>
          <w:p w14:paraId="6C0994DA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 xml:space="preserve">MA2 en </w:t>
            </w:r>
            <w:proofErr w:type="spellStart"/>
            <w:r w:rsidRPr="00CC5752">
              <w:rPr>
                <w:color w:val="000000" w:themeColor="text1"/>
                <w:szCs w:val="24"/>
              </w:rPr>
              <w:t>linguistique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à </w:t>
            </w:r>
            <w:proofErr w:type="spellStart"/>
            <w:r w:rsidRPr="00CC5752">
              <w:rPr>
                <w:color w:val="000000" w:themeColor="text1"/>
                <w:szCs w:val="24"/>
              </w:rPr>
              <w:t>finalité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approfondie</w:t>
            </w:r>
            <w:proofErr w:type="spellEnd"/>
          </w:p>
        </w:tc>
        <w:tc>
          <w:tcPr>
            <w:tcW w:w="709" w:type="dxa"/>
          </w:tcPr>
          <w:p w14:paraId="46A062CF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ULB</w:t>
            </w:r>
          </w:p>
        </w:tc>
        <w:tc>
          <w:tcPr>
            <w:tcW w:w="1024" w:type="dxa"/>
          </w:tcPr>
          <w:p w14:paraId="11FB8388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LPGD</w:t>
            </w:r>
          </w:p>
        </w:tc>
      </w:tr>
      <w:tr w:rsidR="00CC5752" w:rsidRPr="00CC5752" w14:paraId="5AD7C9F0" w14:textId="77777777" w:rsidTr="004A467B">
        <w:tc>
          <w:tcPr>
            <w:tcW w:w="1384" w:type="dxa"/>
          </w:tcPr>
          <w:p w14:paraId="6B9AE06A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2FA04542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proofErr w:type="gramStart"/>
            <w:r w:rsidRPr="00CC5752">
              <w:rPr>
                <w:color w:val="000000" w:themeColor="text1"/>
                <w:szCs w:val="24"/>
                <w:u w:val="single"/>
              </w:rPr>
              <w:t>Mémoire</w:t>
            </w:r>
            <w:proofErr w:type="spellEnd"/>
            <w:r w:rsidRPr="00CC5752">
              <w:rPr>
                <w:color w:val="000000" w:themeColor="text1"/>
                <w:szCs w:val="24"/>
                <w:u w:val="single"/>
              </w:rPr>
              <w:t> </w:t>
            </w:r>
            <w:r w:rsidRPr="00CC5752">
              <w:rPr>
                <w:color w:val="000000" w:themeColor="text1"/>
                <w:szCs w:val="24"/>
              </w:rPr>
              <w:t>:</w:t>
            </w:r>
            <w:proofErr w:type="gramEnd"/>
            <w:r w:rsidRPr="00CC5752">
              <w:rPr>
                <w:color w:val="000000" w:themeColor="text1"/>
                <w:szCs w:val="24"/>
              </w:rPr>
              <w:t xml:space="preserve"> « </w:t>
            </w:r>
            <w:r w:rsidRPr="00CC5752">
              <w:rPr>
                <w:i/>
                <w:color w:val="000000" w:themeColor="text1"/>
                <w:szCs w:val="24"/>
              </w:rPr>
              <w:t xml:space="preserve">Le Cycle de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Sulpicia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 :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édition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traduction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,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commentaire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et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analyse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poétique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> </w:t>
            </w:r>
            <w:r w:rsidRPr="00CC5752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709" w:type="dxa"/>
          </w:tcPr>
          <w:p w14:paraId="328DCD78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24" w:type="dxa"/>
          </w:tcPr>
          <w:p w14:paraId="05103BEE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LPGD</w:t>
            </w:r>
          </w:p>
        </w:tc>
      </w:tr>
      <w:tr w:rsidR="00CC5752" w:rsidRPr="00CC5752" w14:paraId="5CCA7AEF" w14:textId="77777777" w:rsidTr="004A467B">
        <w:tc>
          <w:tcPr>
            <w:tcW w:w="1384" w:type="dxa"/>
          </w:tcPr>
          <w:p w14:paraId="236AEA09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2011-2012</w:t>
            </w:r>
          </w:p>
        </w:tc>
        <w:tc>
          <w:tcPr>
            <w:tcW w:w="6095" w:type="dxa"/>
          </w:tcPr>
          <w:p w14:paraId="57A119AF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  <w:u w:val="single"/>
              </w:rPr>
            </w:pPr>
            <w:r w:rsidRPr="00CC5752">
              <w:rPr>
                <w:color w:val="000000" w:themeColor="text1"/>
              </w:rPr>
              <w:t xml:space="preserve">MA1 </w:t>
            </w:r>
            <w:r w:rsidRPr="00CC5752">
              <w:rPr>
                <w:color w:val="000000" w:themeColor="text1"/>
                <w:szCs w:val="24"/>
              </w:rPr>
              <w:t xml:space="preserve">en </w:t>
            </w:r>
            <w:proofErr w:type="spellStart"/>
            <w:r w:rsidRPr="00CC5752">
              <w:rPr>
                <w:color w:val="000000" w:themeColor="text1"/>
                <w:szCs w:val="24"/>
              </w:rPr>
              <w:t>linguistique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à </w:t>
            </w:r>
            <w:proofErr w:type="spellStart"/>
            <w:r w:rsidRPr="00CC5752">
              <w:rPr>
                <w:color w:val="000000" w:themeColor="text1"/>
                <w:szCs w:val="24"/>
              </w:rPr>
              <w:t>finalité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approfondie</w:t>
            </w:r>
            <w:proofErr w:type="spellEnd"/>
          </w:p>
        </w:tc>
        <w:tc>
          <w:tcPr>
            <w:tcW w:w="709" w:type="dxa"/>
          </w:tcPr>
          <w:p w14:paraId="5A63342D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ULB</w:t>
            </w:r>
          </w:p>
        </w:tc>
        <w:tc>
          <w:tcPr>
            <w:tcW w:w="1024" w:type="dxa"/>
          </w:tcPr>
          <w:p w14:paraId="2AD587E1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GD</w:t>
            </w:r>
          </w:p>
        </w:tc>
      </w:tr>
      <w:tr w:rsidR="00CC5752" w:rsidRPr="00CC5752" w14:paraId="44538D5A" w14:textId="77777777" w:rsidTr="004A467B">
        <w:tc>
          <w:tcPr>
            <w:tcW w:w="1384" w:type="dxa"/>
          </w:tcPr>
          <w:p w14:paraId="5EDB0581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2010-2011</w:t>
            </w:r>
          </w:p>
        </w:tc>
        <w:tc>
          <w:tcPr>
            <w:tcW w:w="6095" w:type="dxa"/>
          </w:tcPr>
          <w:p w14:paraId="136F082C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 xml:space="preserve">MA2 en </w:t>
            </w:r>
            <w:proofErr w:type="spellStart"/>
            <w:r w:rsidRPr="00CC5752">
              <w:rPr>
                <w:color w:val="000000" w:themeColor="text1"/>
                <w:szCs w:val="24"/>
              </w:rPr>
              <w:t>langues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et </w:t>
            </w:r>
            <w:proofErr w:type="spellStart"/>
            <w:r w:rsidRPr="00CC5752">
              <w:rPr>
                <w:color w:val="000000" w:themeColor="text1"/>
                <w:szCs w:val="24"/>
              </w:rPr>
              <w:t>littératures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anciennes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orientation </w:t>
            </w:r>
            <w:proofErr w:type="spellStart"/>
            <w:r w:rsidRPr="00CC5752">
              <w:rPr>
                <w:color w:val="000000" w:themeColor="text1"/>
                <w:szCs w:val="24"/>
              </w:rPr>
              <w:t>classiques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à </w:t>
            </w:r>
            <w:proofErr w:type="spellStart"/>
            <w:r w:rsidRPr="00CC5752">
              <w:rPr>
                <w:color w:val="000000" w:themeColor="text1"/>
                <w:szCs w:val="24"/>
              </w:rPr>
              <w:t>finalité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didactique</w:t>
            </w:r>
            <w:proofErr w:type="spellEnd"/>
          </w:p>
        </w:tc>
        <w:tc>
          <w:tcPr>
            <w:tcW w:w="709" w:type="dxa"/>
          </w:tcPr>
          <w:p w14:paraId="25993F73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ULB</w:t>
            </w:r>
          </w:p>
        </w:tc>
        <w:tc>
          <w:tcPr>
            <w:tcW w:w="1024" w:type="dxa"/>
          </w:tcPr>
          <w:p w14:paraId="0323F2DA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GD</w:t>
            </w:r>
          </w:p>
          <w:p w14:paraId="15284108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CC5752" w:rsidRPr="00CC5752" w14:paraId="31C79792" w14:textId="77777777" w:rsidTr="004A467B">
        <w:tc>
          <w:tcPr>
            <w:tcW w:w="1384" w:type="dxa"/>
          </w:tcPr>
          <w:p w14:paraId="54627E13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618B8A93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proofErr w:type="gramStart"/>
            <w:r w:rsidRPr="00CC5752">
              <w:rPr>
                <w:color w:val="000000" w:themeColor="text1"/>
                <w:szCs w:val="24"/>
                <w:u w:val="single"/>
              </w:rPr>
              <w:t>Mémoire</w:t>
            </w:r>
            <w:proofErr w:type="spellEnd"/>
            <w:r w:rsidRPr="00CC5752">
              <w:rPr>
                <w:color w:val="000000" w:themeColor="text1"/>
                <w:szCs w:val="24"/>
                <w:u w:val="single"/>
              </w:rPr>
              <w:t> </w:t>
            </w:r>
            <w:r w:rsidRPr="00CC5752">
              <w:rPr>
                <w:color w:val="000000" w:themeColor="text1"/>
                <w:szCs w:val="24"/>
              </w:rPr>
              <w:t>:</w:t>
            </w:r>
            <w:proofErr w:type="gramEnd"/>
            <w:r w:rsidRPr="00CC5752">
              <w:rPr>
                <w:color w:val="000000" w:themeColor="text1"/>
                <w:szCs w:val="24"/>
              </w:rPr>
              <w:t xml:space="preserve"> « </w:t>
            </w:r>
            <w:r w:rsidRPr="00CC5752">
              <w:rPr>
                <w:i/>
                <w:color w:val="000000" w:themeColor="text1"/>
                <w:szCs w:val="24"/>
              </w:rPr>
              <w:t xml:space="preserve">La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Pythie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dans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la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littérature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grecque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 :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représentation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 xml:space="preserve"> et </w:t>
            </w:r>
            <w:proofErr w:type="spellStart"/>
            <w:r w:rsidRPr="00CC5752">
              <w:rPr>
                <w:i/>
                <w:color w:val="000000" w:themeColor="text1"/>
                <w:szCs w:val="24"/>
              </w:rPr>
              <w:t>évolution</w:t>
            </w:r>
            <w:proofErr w:type="spellEnd"/>
            <w:r w:rsidRPr="00CC5752">
              <w:rPr>
                <w:i/>
                <w:color w:val="000000" w:themeColor="text1"/>
                <w:szCs w:val="24"/>
              </w:rPr>
              <w:t> </w:t>
            </w:r>
            <w:r w:rsidRPr="00CC5752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709" w:type="dxa"/>
          </w:tcPr>
          <w:p w14:paraId="415003EA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24" w:type="dxa"/>
          </w:tcPr>
          <w:p w14:paraId="35B31208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  <w:szCs w:val="24"/>
              </w:rPr>
            </w:pPr>
            <w:r w:rsidRPr="00CC5752">
              <w:rPr>
                <w:color w:val="000000" w:themeColor="text1"/>
                <w:szCs w:val="24"/>
              </w:rPr>
              <w:t>LPGDIS</w:t>
            </w:r>
          </w:p>
        </w:tc>
      </w:tr>
      <w:tr w:rsidR="00CC5752" w:rsidRPr="00CC5752" w14:paraId="170DA7CD" w14:textId="77777777" w:rsidTr="004A467B">
        <w:tc>
          <w:tcPr>
            <w:tcW w:w="1384" w:type="dxa"/>
          </w:tcPr>
          <w:p w14:paraId="510E8DA3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2009-2010</w:t>
            </w:r>
          </w:p>
        </w:tc>
        <w:tc>
          <w:tcPr>
            <w:tcW w:w="6095" w:type="dxa"/>
          </w:tcPr>
          <w:p w14:paraId="365C78A3" w14:textId="77777777" w:rsidR="00CC5752" w:rsidRPr="00CC5752" w:rsidRDefault="00CC5752" w:rsidP="004A467B">
            <w:pPr>
              <w:spacing w:line="360" w:lineRule="auto"/>
              <w:jc w:val="both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MA1</w:t>
            </w:r>
            <w:r w:rsidRPr="00CC5752">
              <w:rPr>
                <w:color w:val="000000" w:themeColor="text1"/>
                <w:szCs w:val="24"/>
              </w:rPr>
              <w:t xml:space="preserve"> en </w:t>
            </w:r>
            <w:proofErr w:type="spellStart"/>
            <w:r w:rsidRPr="00CC5752">
              <w:rPr>
                <w:color w:val="000000" w:themeColor="text1"/>
                <w:szCs w:val="24"/>
              </w:rPr>
              <w:t>langues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et </w:t>
            </w:r>
            <w:proofErr w:type="spellStart"/>
            <w:r w:rsidRPr="00CC5752">
              <w:rPr>
                <w:color w:val="000000" w:themeColor="text1"/>
                <w:szCs w:val="24"/>
              </w:rPr>
              <w:t>littératures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anciennes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orientation </w:t>
            </w:r>
            <w:proofErr w:type="spellStart"/>
            <w:r w:rsidRPr="00CC5752">
              <w:rPr>
                <w:color w:val="000000" w:themeColor="text1"/>
                <w:szCs w:val="24"/>
              </w:rPr>
              <w:t>classiques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, à </w:t>
            </w:r>
            <w:proofErr w:type="spellStart"/>
            <w:r w:rsidRPr="00CC5752">
              <w:rPr>
                <w:color w:val="000000" w:themeColor="text1"/>
                <w:szCs w:val="24"/>
              </w:rPr>
              <w:t>finalité</w:t>
            </w:r>
            <w:proofErr w:type="spellEnd"/>
            <w:r w:rsidRPr="00CC5752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CC5752">
              <w:rPr>
                <w:color w:val="000000" w:themeColor="text1"/>
                <w:szCs w:val="24"/>
              </w:rPr>
              <w:t>didactique</w:t>
            </w:r>
            <w:proofErr w:type="spellEnd"/>
          </w:p>
        </w:tc>
        <w:tc>
          <w:tcPr>
            <w:tcW w:w="709" w:type="dxa"/>
          </w:tcPr>
          <w:p w14:paraId="148CD790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ULB</w:t>
            </w:r>
          </w:p>
        </w:tc>
        <w:tc>
          <w:tcPr>
            <w:tcW w:w="1024" w:type="dxa"/>
          </w:tcPr>
          <w:p w14:paraId="7A367AB0" w14:textId="77777777" w:rsidR="00CC5752" w:rsidRPr="00CC5752" w:rsidRDefault="00CC5752" w:rsidP="004A467B">
            <w:pPr>
              <w:spacing w:line="360" w:lineRule="auto"/>
              <w:rPr>
                <w:color w:val="000000" w:themeColor="text1"/>
              </w:rPr>
            </w:pPr>
            <w:r w:rsidRPr="00CC5752">
              <w:rPr>
                <w:color w:val="000000" w:themeColor="text1"/>
              </w:rPr>
              <w:t>GD</w:t>
            </w:r>
          </w:p>
        </w:tc>
      </w:tr>
    </w:tbl>
    <w:p w14:paraId="01EB32AD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</w:p>
    <w:p w14:paraId="3703CA19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IV.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>Carrière d’enseignement :</w:t>
      </w:r>
    </w:p>
    <w:p w14:paraId="276D0437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4.1.</w:t>
      </w:r>
      <w:r>
        <w:rPr>
          <w:rFonts w:ascii="Times New Roman" w:hAnsi="Times New Roman"/>
          <w:color w:val="000000" w:themeColor="text1"/>
        </w:rPr>
        <w:tab/>
        <w:t>Enseignement universitaire </w:t>
      </w:r>
      <w:r w:rsidRPr="00CC5752">
        <w:rPr>
          <w:rFonts w:ascii="Times New Roman" w:hAnsi="Times New Roman"/>
          <w:color w:val="000000" w:themeColor="text1"/>
        </w:rPr>
        <w:t>:</w:t>
      </w:r>
    </w:p>
    <w:p w14:paraId="1C478860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- 2014-2015 : assistante chargée d’exercices pour la section de langues et littératures classiques (intérim)</w:t>
      </w:r>
    </w:p>
    <w:p w14:paraId="7F478EE8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- 2010-2013 : étudiante-assistante chargée de guidances pour le cours « </w:t>
      </w:r>
      <w:r w:rsidRPr="00CC5752">
        <w:rPr>
          <w:rFonts w:ascii="Times New Roman" w:hAnsi="Times New Roman"/>
          <w:i/>
          <w:color w:val="000000" w:themeColor="text1"/>
          <w:sz w:val="20"/>
        </w:rPr>
        <w:t xml:space="preserve">Séminaire : pratique de la </w:t>
      </w:r>
      <w:r w:rsidRPr="00CC5752">
        <w:rPr>
          <w:rFonts w:ascii="Times New Roman" w:hAnsi="Times New Roman"/>
          <w:i/>
          <w:color w:val="000000" w:themeColor="text1"/>
          <w:sz w:val="20"/>
        </w:rPr>
        <w:tab/>
        <w:t>recherche : Antiquité</w:t>
      </w:r>
      <w:r w:rsidRPr="00CC5752">
        <w:rPr>
          <w:rFonts w:ascii="Times New Roman" w:hAnsi="Times New Roman"/>
          <w:color w:val="000000" w:themeColor="text1"/>
          <w:sz w:val="20"/>
        </w:rPr>
        <w:t> » (titulaire : Aude Busine ; ULB)</w:t>
      </w:r>
    </w:p>
    <w:p w14:paraId="774257C8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- 2010-2011 : étudiante-assistante chargée de guidances pour le cours « </w:t>
      </w:r>
      <w:r w:rsidRPr="00CC5752">
        <w:rPr>
          <w:rFonts w:ascii="Times New Roman" w:hAnsi="Times New Roman"/>
          <w:i/>
          <w:color w:val="000000" w:themeColor="text1"/>
          <w:sz w:val="20"/>
        </w:rPr>
        <w:t>Grec : langue </w:t>
      </w:r>
      <w:r w:rsidRPr="00CC5752">
        <w:rPr>
          <w:rFonts w:ascii="Times New Roman" w:hAnsi="Times New Roman"/>
          <w:color w:val="000000" w:themeColor="text1"/>
          <w:sz w:val="20"/>
        </w:rPr>
        <w:t xml:space="preserve">» (titulaire : Alain </w:t>
      </w:r>
      <w:r w:rsidRPr="00CC5752">
        <w:rPr>
          <w:rFonts w:ascii="Times New Roman" w:hAnsi="Times New Roman"/>
          <w:color w:val="000000" w:themeColor="text1"/>
          <w:sz w:val="20"/>
        </w:rPr>
        <w:tab/>
        <w:t>Delattre ; ULB)</w:t>
      </w:r>
    </w:p>
    <w:p w14:paraId="472E9D73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- 2009-2010 : étudiante-assistante chargée de guidances pour le cours « </w:t>
      </w:r>
      <w:r w:rsidRPr="00CC5752">
        <w:rPr>
          <w:rFonts w:ascii="Times New Roman" w:hAnsi="Times New Roman"/>
          <w:i/>
          <w:color w:val="000000" w:themeColor="text1"/>
          <w:sz w:val="20"/>
        </w:rPr>
        <w:t>Morphologie et Syntaxe</w:t>
      </w:r>
      <w:r w:rsidRPr="00CC5752">
        <w:rPr>
          <w:rFonts w:ascii="Times New Roman" w:hAnsi="Times New Roman"/>
          <w:color w:val="000000" w:themeColor="text1"/>
          <w:sz w:val="20"/>
        </w:rPr>
        <w:t> »</w:t>
      </w:r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</w:t>
      </w:r>
      <w:r w:rsidRPr="00CC5752">
        <w:rPr>
          <w:rFonts w:ascii="Times New Roman" w:hAnsi="Times New Roman"/>
          <w:color w:val="000000" w:themeColor="text1"/>
          <w:sz w:val="20"/>
        </w:rPr>
        <w:t xml:space="preserve">(titulaire : </w:t>
      </w:r>
      <w:r w:rsidRPr="00CC5752">
        <w:rPr>
          <w:rFonts w:ascii="Times New Roman" w:hAnsi="Times New Roman"/>
          <w:color w:val="000000" w:themeColor="text1"/>
          <w:sz w:val="20"/>
        </w:rPr>
        <w:tab/>
        <w:t xml:space="preserve">Marc </w:t>
      </w:r>
      <w:proofErr w:type="spellStart"/>
      <w:r w:rsidRPr="00CC5752">
        <w:rPr>
          <w:rFonts w:ascii="Times New Roman" w:hAnsi="Times New Roman"/>
          <w:color w:val="000000" w:themeColor="text1"/>
          <w:sz w:val="20"/>
        </w:rPr>
        <w:t>Dominicy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> ; ULB)</w:t>
      </w:r>
    </w:p>
    <w:p w14:paraId="625B201D" w14:textId="77777777" w:rsidR="00CC5752" w:rsidRPr="00CC5752" w:rsidRDefault="00CC5752" w:rsidP="00CC5752">
      <w:pPr>
        <w:spacing w:line="360" w:lineRule="auto"/>
        <w:rPr>
          <w:rFonts w:ascii="Times New Roman" w:hAnsi="Times New Roman"/>
          <w:color w:val="000000" w:themeColor="text1"/>
          <w:sz w:val="20"/>
        </w:rPr>
      </w:pPr>
    </w:p>
    <w:p w14:paraId="5CEBE27B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lastRenderedPageBreak/>
        <w:tab/>
        <w:t>4.2.</w:t>
      </w:r>
      <w:r w:rsidRPr="00CC5752">
        <w:rPr>
          <w:rFonts w:ascii="Times New Roman" w:hAnsi="Times New Roman"/>
          <w:color w:val="000000" w:themeColor="text1"/>
        </w:rPr>
        <w:tab/>
        <w:t>Enseignement non universitaire :</w:t>
      </w:r>
    </w:p>
    <w:p w14:paraId="605C82BD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 xml:space="preserve">- 01/09/2014-30/06/2015 : Professeur de latin et de grec au Lycée Émile </w:t>
      </w:r>
      <w:proofErr w:type="spellStart"/>
      <w:r w:rsidRPr="00CC5752">
        <w:rPr>
          <w:rFonts w:ascii="Times New Roman" w:hAnsi="Times New Roman"/>
          <w:color w:val="000000" w:themeColor="text1"/>
          <w:sz w:val="20"/>
        </w:rPr>
        <w:t>Jacqmain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 xml:space="preserve"> (22h)</w:t>
      </w:r>
    </w:p>
    <w:p w14:paraId="581088BE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- 09/12/2013-30/06/2014 : Professeur de latin à l’Athénée Léon Lepage (14h)</w:t>
      </w:r>
    </w:p>
    <w:p w14:paraId="0D5AB313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- 03/09/2012-21/12/2012 : Professeur de grec à l’Athénée Charles Janssens (8h)</w:t>
      </w:r>
    </w:p>
    <w:p w14:paraId="6B948F68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- 21/03/2011-11/06/2011 : Professeur de latin et de français à l’Athénée Adolphe Max (11h)</w:t>
      </w:r>
    </w:p>
    <w:p w14:paraId="3D4E68C4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</w:p>
    <w:p w14:paraId="0415F4E8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V.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>Publications et activités scientifiques :</w:t>
      </w:r>
    </w:p>
    <w:p w14:paraId="5961299E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</w:rPr>
        <w:tab/>
        <w:t>5.1.</w:t>
      </w:r>
      <w:r w:rsidRPr="00CC5752">
        <w:rPr>
          <w:rFonts w:ascii="Times New Roman" w:hAnsi="Times New Roman"/>
          <w:color w:val="000000" w:themeColor="text1"/>
        </w:rPr>
        <w:tab/>
        <w:t>Listes des publications </w:t>
      </w:r>
    </w:p>
    <w:p w14:paraId="7F867B38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5.1.3.</w:t>
      </w:r>
      <w:r w:rsidRPr="00CC5752">
        <w:rPr>
          <w:rFonts w:ascii="Times New Roman" w:hAnsi="Times New Roman"/>
          <w:color w:val="000000" w:themeColor="text1"/>
        </w:rPr>
        <w:tab/>
        <w:t>Parties d’ouvrages collectifs </w:t>
      </w:r>
      <w:r w:rsidRPr="00CC5752">
        <w:rPr>
          <w:rFonts w:ascii="Times New Roman" w:hAnsi="Times New Roman"/>
          <w:color w:val="000000" w:themeColor="text1"/>
          <w:sz w:val="20"/>
        </w:rPr>
        <w:t>:</w:t>
      </w:r>
    </w:p>
    <w:p w14:paraId="653217F7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bCs/>
          <w:color w:val="000000" w:themeColor="text1"/>
          <w:sz w:val="20"/>
        </w:rPr>
        <w:t>- « Divination et connaissance dans l’</w:t>
      </w:r>
      <w:r w:rsidRPr="00CC5752">
        <w:rPr>
          <w:rFonts w:ascii="Times New Roman" w:hAnsi="Times New Roman"/>
          <w:bCs/>
          <w:i/>
          <w:iCs/>
          <w:color w:val="000000" w:themeColor="text1"/>
          <w:sz w:val="20"/>
        </w:rPr>
        <w:t>Œdipe-Roi</w:t>
      </w:r>
      <w:r w:rsidRPr="00CC5752">
        <w:rPr>
          <w:rFonts w:ascii="Times New Roman" w:hAnsi="Times New Roman"/>
          <w:bCs/>
          <w:iCs/>
          <w:color w:val="000000" w:themeColor="text1"/>
          <w:sz w:val="20"/>
        </w:rPr>
        <w:t xml:space="preserve"> », in L. Nicolas, </w:t>
      </w:r>
      <w:r w:rsidRPr="00CC5752">
        <w:rPr>
          <w:rFonts w:ascii="Times New Roman" w:hAnsi="Times New Roman"/>
          <w:i/>
          <w:color w:val="000000" w:themeColor="text1"/>
          <w:sz w:val="20"/>
        </w:rPr>
        <w:t>Le fragile et le flou. Apprivoiser la précarité : un art rhétorique</w:t>
      </w:r>
      <w:r w:rsidRPr="00CC5752">
        <w:rPr>
          <w:rFonts w:ascii="Times New Roman" w:hAnsi="Times New Roman"/>
          <w:color w:val="000000" w:themeColor="text1"/>
          <w:sz w:val="20"/>
        </w:rPr>
        <w:t xml:space="preserve"> (à paraître 2016 ; 21 p.)</w:t>
      </w:r>
    </w:p>
    <w:p w14:paraId="4DCE4C0D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 xml:space="preserve">- « Aristote », in J. Walter et </w:t>
      </w:r>
      <w:proofErr w:type="gramStart"/>
      <w:r w:rsidRPr="00CC5752">
        <w:rPr>
          <w:rFonts w:ascii="Times New Roman" w:hAnsi="Times New Roman"/>
          <w:color w:val="000000" w:themeColor="text1"/>
          <w:sz w:val="20"/>
        </w:rPr>
        <w:t>al.,</w:t>
      </w:r>
      <w:proofErr w:type="gramEnd"/>
      <w:r w:rsidRPr="00CC5752">
        <w:rPr>
          <w:rFonts w:ascii="Times New Roman" w:hAnsi="Times New Roman"/>
          <w:color w:val="000000" w:themeColor="text1"/>
          <w:sz w:val="20"/>
        </w:rPr>
        <w:t xml:space="preserve"> </w:t>
      </w:r>
      <w:r w:rsidRPr="00CC5752">
        <w:rPr>
          <w:rFonts w:ascii="Times New Roman" w:hAnsi="Times New Roman"/>
          <w:i/>
          <w:iCs/>
          <w:color w:val="000000" w:themeColor="text1"/>
          <w:sz w:val="20"/>
        </w:rPr>
        <w:t>Dictionnaire critique et encyclopédique des publics</w:t>
      </w:r>
      <w:r w:rsidRPr="00CC5752">
        <w:rPr>
          <w:rFonts w:ascii="Times New Roman" w:hAnsi="Times New Roman"/>
          <w:iCs/>
          <w:color w:val="000000" w:themeColor="text1"/>
          <w:sz w:val="20"/>
        </w:rPr>
        <w:t xml:space="preserve"> (à paraître 2016 ; en ligne)</w:t>
      </w:r>
    </w:p>
    <w:p w14:paraId="7E486915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5.1.4.</w:t>
      </w:r>
      <w:r w:rsidRPr="00CC5752">
        <w:rPr>
          <w:rFonts w:ascii="Times New Roman" w:hAnsi="Times New Roman"/>
          <w:color w:val="000000" w:themeColor="text1"/>
        </w:rPr>
        <w:tab/>
        <w:t>Articles dans des revues scientifiques internationales </w:t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</w:p>
    <w:p w14:paraId="3AF44D14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- avec comité de lecture :</w:t>
      </w:r>
    </w:p>
    <w:p w14:paraId="493DDB3F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  <w:r w:rsidRPr="00CC5752">
        <w:rPr>
          <w:rFonts w:ascii="Times New Roman" w:hAnsi="Times New Roman"/>
          <w:color w:val="000000" w:themeColor="text1"/>
          <w:sz w:val="20"/>
        </w:rPr>
        <w:t>- « 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Le </w:t>
      </w:r>
      <w:r w:rsidRPr="00CC5752">
        <w:rPr>
          <w:rFonts w:ascii="Times New Roman" w:hAnsi="Times New Roman"/>
          <w:i/>
          <w:iCs/>
          <w:color w:val="000000" w:themeColor="text1"/>
          <w:sz w:val="20"/>
          <w:lang w:eastAsia="en-US"/>
        </w:rPr>
        <w:t xml:space="preserve">genethliakon 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dans la poésie de Sulpicia »,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  <w:lang w:eastAsia="en-US"/>
        </w:rPr>
        <w:t>Rhetor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  <w:lang w:eastAsia="en-US"/>
        </w:rPr>
        <w:t xml:space="preserve"> 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6 (à paraître - 2015 ; 18 p.)</w:t>
      </w:r>
    </w:p>
    <w:p w14:paraId="6510D7B3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  <w:t>5.2.</w:t>
      </w:r>
      <w:r w:rsidRPr="00CC5752">
        <w:rPr>
          <w:rFonts w:ascii="Times New Roman" w:hAnsi="Times New Roman"/>
          <w:color w:val="000000" w:themeColor="text1"/>
        </w:rPr>
        <w:tab/>
        <w:t>Activités scientifiques</w:t>
      </w:r>
    </w:p>
    <w:p w14:paraId="522FE9BC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5.2.2.</w:t>
      </w:r>
      <w:r w:rsidRPr="00CC5752">
        <w:rPr>
          <w:rFonts w:ascii="Times New Roman" w:hAnsi="Times New Roman"/>
          <w:color w:val="000000" w:themeColor="text1"/>
        </w:rPr>
        <w:tab/>
        <w:t>Participations actives à des congrès et colloques internationaux</w:t>
      </w:r>
    </w:p>
    <w:p w14:paraId="1326A6DE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 xml:space="preserve">- avec C. </w:t>
      </w:r>
      <w:r w:rsidRPr="00CC5752">
        <w:rPr>
          <w:rFonts w:ascii="Times New Roman" w:hAnsi="Times New Roman"/>
          <w:smallCaps/>
          <w:color w:val="000000" w:themeColor="text1"/>
          <w:sz w:val="20"/>
        </w:rPr>
        <w:t>Pieters</w:t>
      </w:r>
      <w:r w:rsidRPr="00CC5752">
        <w:rPr>
          <w:rFonts w:ascii="Times New Roman" w:hAnsi="Times New Roman"/>
          <w:color w:val="000000" w:themeColor="text1"/>
          <w:sz w:val="20"/>
        </w:rPr>
        <w:t>, « T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émoignage et prophétie : réflexions du point de vue rhétorique », </w:t>
      </w:r>
      <w:r w:rsidRPr="00CC5752">
        <w:rPr>
          <w:rFonts w:ascii="Times New Roman" w:hAnsi="Times New Roman"/>
          <w:i/>
          <w:color w:val="000000" w:themeColor="text1"/>
          <w:sz w:val="20"/>
        </w:rPr>
        <w:t>L’argumentation par la “réalité” dans les discours politico-médiatiques et économiques ou la “ persuasion testimoniale”,</w:t>
      </w:r>
      <w:r w:rsidRPr="00CC5752">
        <w:rPr>
          <w:rFonts w:ascii="Times New Roman" w:hAnsi="Times New Roman"/>
          <w:color w:val="000000" w:themeColor="text1"/>
          <w:sz w:val="20"/>
        </w:rPr>
        <w:t xml:space="preserve"> (15 novembre 2013, Lille, France).</w:t>
      </w:r>
    </w:p>
    <w:p w14:paraId="4CDC56C2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ab/>
        <w:t>- « </w:t>
      </w:r>
      <w:r w:rsidRPr="00CC5752">
        <w:rPr>
          <w:rFonts w:ascii="Times New Roman" w:hAnsi="Times New Roman"/>
          <w:color w:val="000000" w:themeColor="text1"/>
          <w:sz w:val="20"/>
        </w:rPr>
        <w:t xml:space="preserve">Connaissance et divination dans l’Œdipe-Roi », </w:t>
      </w:r>
      <w:r w:rsidRPr="00CC5752">
        <w:rPr>
          <w:rFonts w:ascii="Times New Roman" w:hAnsi="Times New Roman"/>
          <w:i/>
          <w:color w:val="000000" w:themeColor="text1"/>
          <w:sz w:val="20"/>
        </w:rPr>
        <w:t>Le fragile et le flou. Apprivoiser la précarité : un art rhétorique </w:t>
      </w:r>
      <w:r w:rsidRPr="00CC5752">
        <w:rPr>
          <w:rFonts w:ascii="Times New Roman" w:hAnsi="Times New Roman"/>
          <w:color w:val="000000" w:themeColor="text1"/>
          <w:sz w:val="20"/>
        </w:rPr>
        <w:t>» (3-5 avril 2014, Bruxelles, Belgique).</w:t>
      </w:r>
    </w:p>
    <w:p w14:paraId="3BF92E96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« 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Le </w:t>
      </w:r>
      <w:r w:rsidRPr="00CC5752">
        <w:rPr>
          <w:rFonts w:ascii="Times New Roman" w:hAnsi="Times New Roman"/>
          <w:i/>
          <w:iCs/>
          <w:color w:val="000000" w:themeColor="text1"/>
          <w:sz w:val="20"/>
          <w:lang w:eastAsia="en-US"/>
        </w:rPr>
        <w:t xml:space="preserve">genethliakon 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dans la poésie de Sulpicia : une transgression érotique », </w:t>
      </w:r>
      <w:r w:rsidRPr="00CC5752">
        <w:rPr>
          <w:rFonts w:ascii="Times New Roman" w:hAnsi="Times New Roman"/>
          <w:i/>
          <w:iCs/>
          <w:color w:val="000000" w:themeColor="text1"/>
          <w:sz w:val="20"/>
          <w:lang w:eastAsia="en-US"/>
        </w:rPr>
        <w:t xml:space="preserve">Congrès annuel de la Société Canadienne pour l’Étude de la Rhétorique. Session thématique: rhétorique de la transgression </w:t>
      </w:r>
      <w:r w:rsidRPr="00CC5752">
        <w:rPr>
          <w:rFonts w:ascii="Times New Roman" w:hAnsi="Times New Roman"/>
          <w:iCs/>
          <w:color w:val="000000" w:themeColor="text1"/>
          <w:sz w:val="20"/>
          <w:lang w:eastAsia="en-US"/>
        </w:rPr>
        <w:t>(28-30 mai 2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014, Saint-</w:t>
      </w:r>
      <w:proofErr w:type="spellStart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Catharines</w:t>
      </w:r>
      <w:proofErr w:type="spellEnd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, Canada).</w:t>
      </w:r>
    </w:p>
    <w:p w14:paraId="617D0FB9" w14:textId="77777777" w:rsid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  <w:lang w:eastAsia="en-US"/>
        </w:rPr>
      </w:pP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ab/>
        <w:t xml:space="preserve">- « Réflexions sur les liens entre rhétorique et médecine dans les traités antiques : le cas des indices », </w:t>
      </w:r>
      <w:r w:rsidRPr="00CC5752">
        <w:rPr>
          <w:rFonts w:ascii="Times New Roman" w:hAnsi="Times New Roman"/>
          <w:i/>
          <w:color w:val="000000" w:themeColor="text1"/>
          <w:sz w:val="20"/>
          <w:lang w:eastAsia="en-US"/>
        </w:rPr>
        <w:t>UEE 2014 « Les discours sur la santé et la maladie : diagnostiquer, annoncer, soigner » 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; atelier « </w:t>
      </w:r>
      <w:proofErr w:type="spellStart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phronèsis</w:t>
      </w:r>
      <w:proofErr w:type="spellEnd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 du rhétoricien, </w:t>
      </w:r>
      <w:proofErr w:type="spellStart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phronèsis</w:t>
      </w:r>
      <w:proofErr w:type="spellEnd"/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 du médecin », Bruxelles, 16-24 juillet 2014</w:t>
      </w:r>
    </w:p>
    <w:p w14:paraId="15D1273E" w14:textId="77777777" w:rsidR="003A6211" w:rsidRPr="003A6211" w:rsidRDefault="003A6211" w:rsidP="003A6211">
      <w:pPr>
        <w:pStyle w:val="Titre1"/>
        <w:pBdr>
          <w:bottom w:val="none" w:sz="0" w:space="0" w:color="auto"/>
        </w:pBdr>
        <w:spacing w:line="360" w:lineRule="auto"/>
        <w:jc w:val="both"/>
        <w:rPr>
          <w:rFonts w:ascii="Times New Roman" w:hAnsi="Times New Roman"/>
          <w:caps w:val="0"/>
          <w:color w:val="000000" w:themeColor="text1"/>
          <w:spacing w:val="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lang w:eastAsia="en-US"/>
        </w:rPr>
        <w:tab/>
      </w:r>
      <w:r w:rsidRPr="003A6211">
        <w:rPr>
          <w:rFonts w:ascii="Times New Roman" w:hAnsi="Times New Roman"/>
          <w:caps w:val="0"/>
          <w:color w:val="000000" w:themeColor="text1"/>
          <w:spacing w:val="0"/>
          <w:sz w:val="20"/>
          <w:szCs w:val="20"/>
          <w:lang w:eastAsia="en-US"/>
        </w:rPr>
        <w:t>- « </w:t>
      </w:r>
      <w:r w:rsidRPr="003A6211">
        <w:rPr>
          <w:rFonts w:ascii="Times New Roman" w:hAnsi="Times New Roman"/>
          <w:caps w:val="0"/>
          <w:color w:val="000000" w:themeColor="text1"/>
          <w:spacing w:val="0"/>
          <w:sz w:val="20"/>
          <w:szCs w:val="20"/>
        </w:rPr>
        <w:t xml:space="preserve">Practicing epideictic today: paradoxical encomium in secondary </w:t>
      </w:r>
      <w:r w:rsidRPr="003A6211">
        <w:rPr>
          <w:rFonts w:ascii="Times New Roman" w:hAnsi="Times New Roman" w:cs="Times New Roman"/>
          <w:caps w:val="0"/>
          <w:color w:val="000000" w:themeColor="text1"/>
          <w:spacing w:val="0"/>
          <w:sz w:val="20"/>
          <w:szCs w:val="20"/>
        </w:rPr>
        <w:t>school</w:t>
      </w:r>
      <w:r w:rsidRPr="003A6211">
        <w:rPr>
          <w:rFonts w:ascii="Times New Roman" w:hAnsi="Times New Roman" w:cs="Times New Roman"/>
          <w:caps w:val="0"/>
          <w:color w:val="000000" w:themeColor="text1"/>
          <w:spacing w:val="0"/>
          <w:sz w:val="20"/>
          <w:szCs w:val="20"/>
        </w:rPr>
        <w:t> »,</w:t>
      </w:r>
      <w:r>
        <w:rPr>
          <w:rFonts w:ascii="Times New Roman" w:hAnsi="Times New Roman" w:cs="Times New Roman"/>
          <w:caps w:val="0"/>
          <w:color w:val="000000" w:themeColor="text1"/>
          <w:spacing w:val="0"/>
          <w:sz w:val="20"/>
          <w:szCs w:val="20"/>
        </w:rPr>
        <w:t xml:space="preserve"> </w:t>
      </w:r>
      <w:r w:rsidRPr="003A6211">
        <w:rPr>
          <w:rFonts w:ascii="Times New Roman" w:hAnsi="Times New Roman" w:cs="Times New Roman"/>
          <w:i/>
          <w:caps w:val="0"/>
          <w:color w:val="000000" w:themeColor="text1"/>
          <w:spacing w:val="0"/>
          <w:sz w:val="20"/>
          <w:szCs w:val="20"/>
        </w:rPr>
        <w:t>Building Consensus. Rhetoric between Democracy and Conflict</w:t>
      </w:r>
      <w:r>
        <w:rPr>
          <w:rFonts w:ascii="Times New Roman" w:hAnsi="Times New Roman" w:cs="Times New Roman"/>
          <w:caps w:val="0"/>
          <w:color w:val="000000" w:themeColor="text1"/>
          <w:spacing w:val="0"/>
          <w:sz w:val="20"/>
          <w:szCs w:val="20"/>
        </w:rPr>
        <w:t>, Palerme (Italie), 15-18 avril 2015.</w:t>
      </w:r>
    </w:p>
    <w:p w14:paraId="13DB32BE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ab/>
        <w:t xml:space="preserve">- « Le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  <w:lang w:eastAsia="en-US"/>
        </w:rPr>
        <w:t>mantis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  <w:lang w:eastAsia="en-US"/>
        </w:rPr>
        <w:t> 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: interprète divin dans l’historiographie classique », </w:t>
      </w:r>
      <w:r w:rsidRPr="00CC5752">
        <w:rPr>
          <w:rFonts w:ascii="Times New Roman" w:hAnsi="Times New Roman"/>
          <w:i/>
          <w:color w:val="000000" w:themeColor="text1"/>
          <w:sz w:val="20"/>
        </w:rPr>
        <w:t xml:space="preserve">The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Twentieth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Biennial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Conference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of the International Society for the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History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of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Rhetoric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>, Tübingen (Allemagne), 28-31 juillet 2015.</w:t>
      </w:r>
    </w:p>
    <w:p w14:paraId="5B3665DC" w14:textId="77777777" w:rsidR="00CC5752" w:rsidRPr="00CC5752" w:rsidRDefault="00CC5752" w:rsidP="00CC5752">
      <w:pPr>
        <w:spacing w:line="36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50EE83A9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5.2.4.</w:t>
      </w:r>
      <w:r w:rsidRPr="00CC5752">
        <w:rPr>
          <w:rFonts w:ascii="Times New Roman" w:hAnsi="Times New Roman"/>
          <w:color w:val="000000" w:themeColor="text1"/>
        </w:rPr>
        <w:tab/>
        <w:t>Appartenance à des sociétés savantes</w:t>
      </w:r>
    </w:p>
    <w:p w14:paraId="693DC2F5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Membre du Groupe de recherche en Rhétorique et Argumentation Linguistique (GRAL)</w:t>
      </w:r>
    </w:p>
    <w:p w14:paraId="016D25AC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Membre de la Société Canadienne pour l’Étude de la Rhétorique (SCER)</w:t>
      </w:r>
    </w:p>
    <w:p w14:paraId="534AE3D7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 xml:space="preserve">- Membre de l’International Society for the </w:t>
      </w:r>
      <w:proofErr w:type="spellStart"/>
      <w:r w:rsidRPr="00CC5752">
        <w:rPr>
          <w:rFonts w:ascii="Times New Roman" w:hAnsi="Times New Roman"/>
          <w:color w:val="000000" w:themeColor="text1"/>
          <w:sz w:val="20"/>
        </w:rPr>
        <w:t>History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 xml:space="preserve"> of </w:t>
      </w:r>
      <w:proofErr w:type="spellStart"/>
      <w:r w:rsidRPr="00CC5752">
        <w:rPr>
          <w:rFonts w:ascii="Times New Roman" w:hAnsi="Times New Roman"/>
          <w:color w:val="000000" w:themeColor="text1"/>
          <w:sz w:val="20"/>
        </w:rPr>
        <w:t>Rhetoric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 xml:space="preserve"> (ISHR)</w:t>
      </w:r>
    </w:p>
    <w:p w14:paraId="7B139D53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</w:p>
    <w:p w14:paraId="3A8765E0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5.2.6.</w:t>
      </w:r>
      <w:r w:rsidRPr="00CC5752">
        <w:rPr>
          <w:rFonts w:ascii="Times New Roman" w:hAnsi="Times New Roman"/>
          <w:color w:val="000000" w:themeColor="text1"/>
        </w:rPr>
        <w:tab/>
        <w:t>Missions d’expert ou de consultant</w:t>
      </w:r>
    </w:p>
    <w:p w14:paraId="775C0B6D" w14:textId="77777777" w:rsidR="00CC5752" w:rsidRPr="00CC5752" w:rsidRDefault="00CC5752" w:rsidP="00CC5752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Membre du comité de sélection des communications pour le congrès « </w:t>
      </w:r>
      <w:r w:rsidRPr="00CC5752">
        <w:rPr>
          <w:rFonts w:ascii="Times New Roman" w:hAnsi="Times New Roman"/>
          <w:i/>
          <w:color w:val="000000" w:themeColor="text1"/>
          <w:sz w:val="20"/>
        </w:rPr>
        <w:t>Le Fragile et le flou. Apprivoiser la précarité : un art rhétorique </w:t>
      </w:r>
      <w:r w:rsidRPr="00CC5752">
        <w:rPr>
          <w:rFonts w:ascii="Times New Roman" w:hAnsi="Times New Roman"/>
          <w:color w:val="000000" w:themeColor="text1"/>
          <w:sz w:val="20"/>
        </w:rPr>
        <w:t>» (Bruxelles, ULB, 3-5 avril 2014).</w:t>
      </w:r>
    </w:p>
    <w:p w14:paraId="212F58A0" w14:textId="77777777" w:rsidR="00CC5752" w:rsidRPr="00CC5752" w:rsidRDefault="00CC5752" w:rsidP="00CC5752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- 2014-2015 : représentante-étudiante du Comité Consultatif de la Société Canadienne pour l’Étude de la Rhétorique (SCER).</w:t>
      </w:r>
    </w:p>
    <w:p w14:paraId="3067A7B3" w14:textId="77777777" w:rsidR="00CC5752" w:rsidRPr="00CC5752" w:rsidRDefault="00CC5752" w:rsidP="00CC5752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13995300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  <w:t>5.3.</w:t>
      </w:r>
      <w:r w:rsidRPr="00CC5752">
        <w:rPr>
          <w:rFonts w:ascii="Times New Roman" w:hAnsi="Times New Roman"/>
          <w:color w:val="000000" w:themeColor="text1"/>
        </w:rPr>
        <w:tab/>
        <w:t>Prix, distinctions et marques de notoriété scientifique</w:t>
      </w:r>
    </w:p>
    <w:p w14:paraId="7C11D9B9" w14:textId="77777777" w:rsidR="00CC5752" w:rsidRPr="00CC5752" w:rsidRDefault="00CC5752" w:rsidP="00CC5752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Prix de la meilleure communication présentation par un étudiant (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graduate</w:t>
      </w:r>
      <w:proofErr w:type="spellEnd"/>
      <w:r w:rsidRPr="00CC5752">
        <w:rPr>
          <w:rFonts w:ascii="Times New Roman" w:hAnsi="Times New Roman"/>
          <w:i/>
          <w:color w:val="000000" w:themeColor="text1"/>
          <w:sz w:val="20"/>
        </w:rPr>
        <w:t xml:space="preserve"> </w:t>
      </w:r>
      <w:proofErr w:type="spellStart"/>
      <w:r w:rsidRPr="00CC5752">
        <w:rPr>
          <w:rFonts w:ascii="Times New Roman" w:hAnsi="Times New Roman"/>
          <w:i/>
          <w:color w:val="000000" w:themeColor="text1"/>
          <w:sz w:val="20"/>
        </w:rPr>
        <w:t>student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>) décerné par la SCER pour la conférence « 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 xml:space="preserve">Le </w:t>
      </w:r>
      <w:r w:rsidRPr="00CC5752">
        <w:rPr>
          <w:rFonts w:ascii="Times New Roman" w:hAnsi="Times New Roman"/>
          <w:i/>
          <w:iCs/>
          <w:color w:val="000000" w:themeColor="text1"/>
          <w:sz w:val="20"/>
          <w:lang w:eastAsia="en-US"/>
        </w:rPr>
        <w:t xml:space="preserve">genethliakon </w:t>
      </w:r>
      <w:r w:rsidRPr="00CC5752">
        <w:rPr>
          <w:rFonts w:ascii="Times New Roman" w:hAnsi="Times New Roman"/>
          <w:color w:val="000000" w:themeColor="text1"/>
          <w:sz w:val="20"/>
          <w:lang w:eastAsia="en-US"/>
        </w:rPr>
        <w:t>dans la poésie de Sulpicia : une transgression érotique ».</w:t>
      </w:r>
    </w:p>
    <w:p w14:paraId="53DA8D49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</w:p>
    <w:p w14:paraId="026B05C3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VI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>Responsabilités logistiques :</w:t>
      </w:r>
    </w:p>
    <w:p w14:paraId="5EC8ADF4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>6.1.</w:t>
      </w:r>
      <w:r w:rsidRPr="00CC5752">
        <w:rPr>
          <w:rFonts w:ascii="Times New Roman" w:hAnsi="Times New Roman"/>
          <w:color w:val="000000" w:themeColor="text1"/>
        </w:rPr>
        <w:tab/>
        <w:t>Dans le cadre de l’enseignement et de la recherche</w:t>
      </w:r>
    </w:p>
    <w:p w14:paraId="53C6589C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6.1.3.</w:t>
      </w:r>
      <w:r w:rsidRPr="00CC5752">
        <w:rPr>
          <w:rFonts w:ascii="Times New Roman" w:hAnsi="Times New Roman"/>
          <w:color w:val="000000" w:themeColor="text1"/>
        </w:rPr>
        <w:tab/>
        <w:t xml:space="preserve">Organisation de congrès et colloques nationaux ou </w:t>
      </w:r>
    </w:p>
    <w:p w14:paraId="7B4249E3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  <w:proofErr w:type="gramStart"/>
      <w:r w:rsidRPr="00CC5752">
        <w:rPr>
          <w:rFonts w:ascii="Times New Roman" w:hAnsi="Times New Roman"/>
          <w:color w:val="000000" w:themeColor="text1"/>
        </w:rPr>
        <w:t>internationaux</w:t>
      </w:r>
      <w:proofErr w:type="gramEnd"/>
    </w:p>
    <w:p w14:paraId="391974EA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jc w:val="both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Co-organisatrice (avec Benoît Sans) de la journée d’étude internationale « </w:t>
      </w:r>
      <w:r w:rsidRPr="00CC5752">
        <w:rPr>
          <w:rFonts w:ascii="Times New Roman" w:hAnsi="Times New Roman"/>
          <w:i/>
          <w:color w:val="000000" w:themeColor="text1"/>
          <w:sz w:val="20"/>
        </w:rPr>
        <w:t>Entre rhétorique et philologie : pour une réhabilitation des liens entre théorie et pratique</w:t>
      </w:r>
      <w:r w:rsidRPr="00CC5752">
        <w:rPr>
          <w:rFonts w:ascii="Times New Roman" w:hAnsi="Times New Roman"/>
          <w:color w:val="000000" w:themeColor="text1"/>
          <w:sz w:val="20"/>
        </w:rPr>
        <w:t> » (ULB, 11 février 2016)</w:t>
      </w:r>
    </w:p>
    <w:p w14:paraId="20A6FAC5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  <w:t>6.2.</w:t>
      </w:r>
      <w:r w:rsidRPr="00CC5752">
        <w:rPr>
          <w:rFonts w:ascii="Times New Roman" w:hAnsi="Times New Roman"/>
          <w:color w:val="000000" w:themeColor="text1"/>
        </w:rPr>
        <w:tab/>
        <w:t>Participation à l’administration de l’ULB</w:t>
      </w:r>
    </w:p>
    <w:p w14:paraId="40EF0F2A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color w:val="000000" w:themeColor="text1"/>
        </w:rPr>
      </w:pP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>6.2.1.</w:t>
      </w:r>
      <w:r w:rsidRPr="00CC5752">
        <w:rPr>
          <w:rFonts w:ascii="Times New Roman" w:hAnsi="Times New Roman"/>
          <w:color w:val="000000" w:themeColor="text1"/>
        </w:rPr>
        <w:tab/>
        <w:t xml:space="preserve">Charges et mandats assurés dans les différentes instances de </w:t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</w:r>
      <w:r w:rsidRPr="00CC5752">
        <w:rPr>
          <w:rFonts w:ascii="Times New Roman" w:hAnsi="Times New Roman"/>
          <w:color w:val="000000" w:themeColor="text1"/>
        </w:rPr>
        <w:tab/>
        <w:t xml:space="preserve">participation de l’ULB </w:t>
      </w:r>
    </w:p>
    <w:p w14:paraId="2E258F8E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 xml:space="preserve">- Membre du </w:t>
      </w:r>
      <w:proofErr w:type="spellStart"/>
      <w:r w:rsidRPr="00CC5752">
        <w:rPr>
          <w:rFonts w:ascii="Times New Roman" w:hAnsi="Times New Roman"/>
          <w:color w:val="000000" w:themeColor="text1"/>
          <w:sz w:val="20"/>
        </w:rPr>
        <w:t>BePhil</w:t>
      </w:r>
      <w:proofErr w:type="spellEnd"/>
      <w:r w:rsidRPr="00CC5752">
        <w:rPr>
          <w:rFonts w:ascii="Times New Roman" w:hAnsi="Times New Roman"/>
          <w:color w:val="000000" w:themeColor="text1"/>
          <w:sz w:val="20"/>
        </w:rPr>
        <w:t xml:space="preserve"> de 2009 à 2011.</w:t>
      </w:r>
    </w:p>
    <w:p w14:paraId="7201177F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/>
        <w:rPr>
          <w:rFonts w:ascii="Times New Roman" w:hAnsi="Times New Roman"/>
          <w:color w:val="000000" w:themeColor="text1"/>
          <w:sz w:val="20"/>
        </w:rPr>
      </w:pPr>
      <w:r w:rsidRPr="00CC5752">
        <w:rPr>
          <w:rFonts w:ascii="Times New Roman" w:hAnsi="Times New Roman"/>
          <w:color w:val="000000" w:themeColor="text1"/>
          <w:sz w:val="20"/>
        </w:rPr>
        <w:tab/>
        <w:t>- Vice-présidente de la commission pédagogique (2009-2010).</w:t>
      </w:r>
    </w:p>
    <w:p w14:paraId="2EEF45F8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</w:p>
    <w:p w14:paraId="2C5C050D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480" w:lineRule="auto"/>
        <w:ind w:right="-432" w:firstLine="851"/>
        <w:rPr>
          <w:rFonts w:ascii="Times New Roman" w:hAnsi="Times New Roman"/>
          <w:b/>
          <w:bCs/>
          <w:color w:val="000000" w:themeColor="text1"/>
        </w:rPr>
      </w:pPr>
      <w:r w:rsidRPr="00CC5752">
        <w:rPr>
          <w:rFonts w:ascii="Times New Roman" w:hAnsi="Times New Roman"/>
          <w:b/>
          <w:bCs/>
          <w:color w:val="000000" w:themeColor="text1"/>
        </w:rPr>
        <w:t>VIII.</w:t>
      </w:r>
      <w:r w:rsidRPr="00CC5752">
        <w:rPr>
          <w:rFonts w:ascii="Times New Roman" w:hAnsi="Times New Roman"/>
          <w:b/>
          <w:bCs/>
          <w:color w:val="000000" w:themeColor="text1"/>
        </w:rPr>
        <w:tab/>
        <w:t>Brève présentation du (ou des) thème(s) de recherche.</w:t>
      </w:r>
    </w:p>
    <w:p w14:paraId="613A81E9" w14:textId="77777777" w:rsidR="00CC5752" w:rsidRPr="00CC5752" w:rsidRDefault="00CC5752" w:rsidP="00CC5752">
      <w:pPr>
        <w:widowControl w:val="0"/>
        <w:autoSpaceDE w:val="0"/>
        <w:autoSpaceDN w:val="0"/>
        <w:adjustRightInd w:val="0"/>
        <w:spacing w:line="360" w:lineRule="auto"/>
        <w:ind w:right="-432" w:firstLine="851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Je me consacre actuellement à l’étude de l’oracle en tant que preuve rhétorique dans la littérature grecque classique, avec une attention particulière pour les historiens et les tragiques.</w:t>
      </w:r>
    </w:p>
    <w:sectPr w:rsidR="00CC5752" w:rsidRPr="00CC5752" w:rsidSect="003A6211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22D7" w14:textId="77777777" w:rsidR="00CC5752" w:rsidRDefault="00CC5752" w:rsidP="00CC5752">
      <w:r>
        <w:separator/>
      </w:r>
    </w:p>
  </w:endnote>
  <w:endnote w:type="continuationSeparator" w:id="0">
    <w:p w14:paraId="10C66099" w14:textId="77777777" w:rsidR="00CC5752" w:rsidRDefault="00CC5752" w:rsidP="00CC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FAO-Grec Unicode">
    <w:panose1 w:val="02020603050405020304"/>
    <w:charset w:val="00"/>
    <w:family w:val="auto"/>
    <w:pitch w:val="variable"/>
    <w:sig w:usb0="E00002EF" w:usb1="5000387A" w:usb2="0000002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FC4BE" w14:textId="77777777" w:rsidR="00CC5752" w:rsidRDefault="00CC5752" w:rsidP="00A652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CB51AA" w14:textId="77777777" w:rsidR="00CC5752" w:rsidRDefault="00CC5752" w:rsidP="00CC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EB05" w14:textId="77777777" w:rsidR="00CC5752" w:rsidRPr="003A6211" w:rsidRDefault="00CC5752" w:rsidP="00A65230">
    <w:pPr>
      <w:pStyle w:val="Pieddepage"/>
      <w:framePr w:wrap="around" w:vAnchor="text" w:hAnchor="margin" w:xAlign="right" w:y="1"/>
      <w:rPr>
        <w:rStyle w:val="Numrodepage"/>
      </w:rPr>
    </w:pPr>
    <w:r w:rsidRPr="003A6211">
      <w:rPr>
        <w:rStyle w:val="Numrodepage"/>
      </w:rPr>
      <w:fldChar w:fldCharType="begin"/>
    </w:r>
    <w:r w:rsidRPr="003A6211">
      <w:rPr>
        <w:rStyle w:val="Numrodepage"/>
      </w:rPr>
      <w:instrText xml:space="preserve">PAGE  </w:instrText>
    </w:r>
    <w:r w:rsidRPr="003A6211">
      <w:rPr>
        <w:rStyle w:val="Numrodepage"/>
      </w:rPr>
      <w:fldChar w:fldCharType="separate"/>
    </w:r>
    <w:r w:rsidR="003A6211">
      <w:rPr>
        <w:rStyle w:val="Numrodepage"/>
        <w:noProof/>
      </w:rPr>
      <w:t>3</w:t>
    </w:r>
    <w:r w:rsidRPr="003A6211">
      <w:rPr>
        <w:rStyle w:val="Numrodepage"/>
      </w:rPr>
      <w:fldChar w:fldCharType="end"/>
    </w:r>
  </w:p>
  <w:p w14:paraId="200415F4" w14:textId="77777777" w:rsidR="00CC5752" w:rsidRDefault="00CC5752" w:rsidP="00CC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6BEB5" w14:textId="77777777" w:rsidR="00CC5752" w:rsidRDefault="00CC5752" w:rsidP="00CC5752">
      <w:r>
        <w:separator/>
      </w:r>
    </w:p>
  </w:footnote>
  <w:footnote w:type="continuationSeparator" w:id="0">
    <w:p w14:paraId="641B3497" w14:textId="77777777" w:rsidR="00CC5752" w:rsidRDefault="00CC5752" w:rsidP="00CC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2"/>
    <w:rsid w:val="003A6211"/>
    <w:rsid w:val="003C337B"/>
    <w:rsid w:val="005E098F"/>
    <w:rsid w:val="0068344E"/>
    <w:rsid w:val="00CC5752"/>
    <w:rsid w:val="00E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DF7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2"/>
    <w:rPr>
      <w:rFonts w:eastAsia="Times New Roman"/>
      <w:color w:val="00008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A6211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344E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="IFAO-Grec Unicode" w:eastAsiaTheme="majorEastAsia" w:hAnsi="IFAO-Grec Unicode" w:cstheme="majorBidi"/>
      <w:smallCaps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344E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52"/>
      <w:szCs w:val="52"/>
    </w:rPr>
  </w:style>
  <w:style w:type="character" w:styleId="Lienhypertexte">
    <w:name w:val="Hyperlink"/>
    <w:basedOn w:val="Policepardfaut"/>
    <w:rsid w:val="00CC5752"/>
    <w:rPr>
      <w:color w:val="0000FF"/>
      <w:u w:val="single"/>
    </w:rPr>
  </w:style>
  <w:style w:type="table" w:styleId="Grille">
    <w:name w:val="Table Grid"/>
    <w:basedOn w:val="TableauNormal"/>
    <w:rsid w:val="00CC575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C5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752"/>
    <w:rPr>
      <w:rFonts w:eastAsia="Times New Roman"/>
      <w:color w:val="000080"/>
      <w:szCs w:val="20"/>
    </w:rPr>
  </w:style>
  <w:style w:type="character" w:styleId="Numrodepage">
    <w:name w:val="page number"/>
    <w:basedOn w:val="Policepardfaut"/>
    <w:uiPriority w:val="99"/>
    <w:unhideWhenUsed/>
    <w:rsid w:val="003A6211"/>
    <w:rPr>
      <w:rFonts w:ascii="Times New Roman" w:hAnsi="Times New Roman"/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A6211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fr-BE"/>
    </w:rPr>
  </w:style>
  <w:style w:type="character" w:styleId="lev">
    <w:name w:val="Strong"/>
    <w:basedOn w:val="Policepardfaut"/>
    <w:uiPriority w:val="22"/>
    <w:qFormat/>
    <w:rsid w:val="003A621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211"/>
    <w:rPr>
      <w:rFonts w:eastAsia="Times New Roman"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52"/>
    <w:rPr>
      <w:rFonts w:eastAsia="Times New Roman"/>
      <w:color w:val="00008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A6211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344E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="IFAO-Grec Unicode" w:eastAsiaTheme="majorEastAsia" w:hAnsi="IFAO-Grec Unicode" w:cstheme="majorBidi"/>
      <w:smallCaps/>
      <w:color w:val="000000" w:themeColor="text1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344E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52"/>
      <w:szCs w:val="52"/>
    </w:rPr>
  </w:style>
  <w:style w:type="character" w:styleId="Lienhypertexte">
    <w:name w:val="Hyperlink"/>
    <w:basedOn w:val="Policepardfaut"/>
    <w:rsid w:val="00CC5752"/>
    <w:rPr>
      <w:color w:val="0000FF"/>
      <w:u w:val="single"/>
    </w:rPr>
  </w:style>
  <w:style w:type="table" w:styleId="Grille">
    <w:name w:val="Table Grid"/>
    <w:basedOn w:val="TableauNormal"/>
    <w:rsid w:val="00CC5752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C5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5752"/>
    <w:rPr>
      <w:rFonts w:eastAsia="Times New Roman"/>
      <w:color w:val="000080"/>
      <w:szCs w:val="20"/>
    </w:rPr>
  </w:style>
  <w:style w:type="character" w:styleId="Numrodepage">
    <w:name w:val="page number"/>
    <w:basedOn w:val="Policepardfaut"/>
    <w:uiPriority w:val="99"/>
    <w:unhideWhenUsed/>
    <w:rsid w:val="003A6211"/>
    <w:rPr>
      <w:rFonts w:ascii="Times New Roman" w:hAnsi="Times New Roman"/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A6211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fr-BE"/>
    </w:rPr>
  </w:style>
  <w:style w:type="character" w:styleId="lev">
    <w:name w:val="Strong"/>
    <w:basedOn w:val="Policepardfaut"/>
    <w:uiPriority w:val="22"/>
    <w:qFormat/>
    <w:rsid w:val="003A621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211"/>
    <w:rPr>
      <w:rFonts w:eastAsia="Times New Roman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899</Words>
  <Characters>4945</Characters>
  <Application>Microsoft Macintosh Word</Application>
  <DocSecurity>0</DocSecurity>
  <Lines>41</Lines>
  <Paragraphs>11</Paragraphs>
  <ScaleCrop>false</ScaleCrop>
  <Company>ULB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Dainville</dc:creator>
  <cp:keywords/>
  <dc:description/>
  <cp:lastModifiedBy>Julie Dainville</cp:lastModifiedBy>
  <cp:revision>2</cp:revision>
  <dcterms:created xsi:type="dcterms:W3CDTF">2015-09-24T16:23:00Z</dcterms:created>
  <dcterms:modified xsi:type="dcterms:W3CDTF">2015-09-24T16:37:00Z</dcterms:modified>
</cp:coreProperties>
</file>